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8D" w:rsidRPr="0076268D" w:rsidRDefault="001B3442" w:rsidP="007626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1620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Проведен обучающий семинар на тему </w:t>
      </w:r>
      <w:r w:rsidR="0076268D" w:rsidRPr="0076268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«Организация </w:t>
      </w:r>
      <w:proofErr w:type="gramStart"/>
      <w:r w:rsidR="0076268D" w:rsidRPr="0076268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антимонопольного</w:t>
      </w:r>
      <w:proofErr w:type="gramEnd"/>
      <w:r w:rsidR="0076268D" w:rsidRPr="0076268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комплаенса на территории Белгородской области»</w:t>
      </w:r>
    </w:p>
    <w:p w:rsidR="006C40A6" w:rsidRPr="006C40A6" w:rsidRDefault="006C40A6" w:rsidP="006C4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0A6">
        <w:rPr>
          <w:rFonts w:ascii="Times New Roman" w:hAnsi="Times New Roman" w:cs="Times New Roman"/>
          <w:sz w:val="24"/>
          <w:szCs w:val="24"/>
        </w:rPr>
        <w:t xml:space="preserve">Специалисты структурных подразделений администрации Борисовского района </w:t>
      </w:r>
      <w:r w:rsidR="00E40EED">
        <w:rPr>
          <w:rFonts w:ascii="Times New Roman" w:hAnsi="Times New Roman" w:cs="Times New Roman"/>
          <w:sz w:val="24"/>
          <w:szCs w:val="24"/>
        </w:rPr>
        <w:t xml:space="preserve">28 июня 2022 года </w:t>
      </w:r>
      <w:r w:rsidRPr="006C40A6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proofErr w:type="spellStart"/>
      <w:r w:rsidRPr="006C40A6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6C40A6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6C40A6">
        <w:rPr>
          <w:rFonts w:ascii="Times New Roman" w:hAnsi="Times New Roman" w:cs="Times New Roman"/>
          <w:b/>
          <w:sz w:val="24"/>
          <w:szCs w:val="24"/>
        </w:rPr>
        <w:t>«Организация антимонопольного комплаенса на территории Белгородской области»</w:t>
      </w:r>
      <w:r w:rsidRPr="006C40A6">
        <w:rPr>
          <w:rFonts w:ascii="Times New Roman" w:hAnsi="Times New Roman" w:cs="Times New Roman"/>
          <w:sz w:val="24"/>
          <w:szCs w:val="24"/>
        </w:rPr>
        <w:t>.</w:t>
      </w:r>
    </w:p>
    <w:p w:rsidR="005E64CF" w:rsidRDefault="006C40A6" w:rsidP="005E64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DAB">
        <w:rPr>
          <w:rFonts w:ascii="Times New Roman" w:hAnsi="Times New Roman" w:cs="Times New Roman"/>
          <w:sz w:val="24"/>
          <w:szCs w:val="24"/>
        </w:rPr>
        <w:t>Организатором данного мероприятия выступила ассоциация «Совет муниципальных образований Белгородской области» совместно с Белгородским УФАС и Министерством экономического развития и промышленности Белгородской области.</w:t>
      </w:r>
      <w:r w:rsidR="00A265E4" w:rsidRPr="00283DAB">
        <w:rPr>
          <w:rFonts w:ascii="Times New Roman" w:hAnsi="Times New Roman" w:cs="Times New Roman"/>
          <w:sz w:val="24"/>
          <w:szCs w:val="24"/>
        </w:rPr>
        <w:t xml:space="preserve"> Предметом обсуждения стала реализация региональной конкурентной политики и внедрение антимонопольного комплаенса на территории Белгородской области в 2021 году.</w:t>
      </w:r>
    </w:p>
    <w:p w:rsidR="00F93071" w:rsidRDefault="00A265E4" w:rsidP="00F930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DAB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Pr="00283DA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83DAB">
        <w:rPr>
          <w:rFonts w:ascii="Times New Roman" w:hAnsi="Times New Roman" w:cs="Times New Roman"/>
          <w:sz w:val="24"/>
          <w:szCs w:val="24"/>
        </w:rPr>
        <w:t xml:space="preserve"> были рассмотрены вопросы выявления нарушений антимонопольного законодательства со стороны органов власти и местного самоуправления, озвучены проблемные вопросы практики закупок и примеры нарушений антимонопольного законодательства в целях недопущения подобных ситуаций, обозначены основные положения организации антимонопольного комплаенса на территории Белгородской области, а так же  вопросы реализации национального плана развития конкуренции и стандарта развития конкуренции.</w:t>
      </w:r>
      <w:proofErr w:type="gramEnd"/>
    </w:p>
    <w:p w:rsidR="009D5990" w:rsidRPr="009D5990" w:rsidRDefault="00F93071" w:rsidP="00F84A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выспупали</w:t>
      </w:r>
      <w:proofErr w:type="spellEnd"/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 Кашу - заместитель руководителя Управления Федеральной антимонопольной службы по Белгородской области. Она обратила внимание участников </w:t>
      </w:r>
      <w:proofErr w:type="spellStart"/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t xml:space="preserve"> на выявленные нарушения антимонопольного законодательства в субъектах РФ и привела примеры надзорной практики в сфере соблюдения антимонопольного законодательства органами государственной власти и местного</w:t>
      </w:r>
      <w:r w:rsidR="00E5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  <w:r w:rsidR="00E5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t xml:space="preserve">В своем выступлении Елена Кашу сообщила, что в органах власти муниципального уровня приняты акты внедрения антимонопольного комплаенса и работа муниципалитетов Белгородской области была </w:t>
      </w:r>
      <w:r w:rsidR="00E561A0">
        <w:rPr>
          <w:rFonts w:ascii="Times New Roman" w:eastAsia="Times New Roman" w:hAnsi="Times New Roman" w:cs="Times New Roman"/>
          <w:sz w:val="24"/>
          <w:szCs w:val="24"/>
        </w:rPr>
        <w:t>отмечена</w:t>
      </w:r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t xml:space="preserve"> в качестве положительного примера в итоговом докладе ФАС России по ведению антимонопольного комплаенса</w:t>
      </w:r>
      <w:r w:rsidR="00772E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4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t xml:space="preserve">Обзор ошибок и нарушений со стороны государственных и муниципальных заказчиков в области контрактной системы представила Ольга Владимировна Сотникова - начальник </w:t>
      </w:r>
      <w:proofErr w:type="gramStart"/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t>отдела контроля закупок Управления Федер</w:t>
      </w:r>
      <w:r w:rsidR="00E62622">
        <w:rPr>
          <w:rFonts w:ascii="Times New Roman" w:eastAsia="Times New Roman" w:hAnsi="Times New Roman" w:cs="Times New Roman"/>
          <w:sz w:val="24"/>
          <w:szCs w:val="24"/>
        </w:rPr>
        <w:t>альной антимонопольной службы</w:t>
      </w:r>
      <w:proofErr w:type="gramEnd"/>
      <w:r w:rsidR="00E62622">
        <w:rPr>
          <w:rFonts w:ascii="Times New Roman" w:eastAsia="Times New Roman" w:hAnsi="Times New Roman" w:cs="Times New Roman"/>
          <w:sz w:val="24"/>
          <w:szCs w:val="24"/>
        </w:rPr>
        <w:t xml:space="preserve"> по Белгородской области.</w:t>
      </w:r>
      <w:r w:rsidR="00CF7A1F">
        <w:rPr>
          <w:rFonts w:ascii="Times New Roman" w:eastAsia="Times New Roman" w:hAnsi="Times New Roman" w:cs="Times New Roman"/>
          <w:sz w:val="24"/>
          <w:szCs w:val="24"/>
        </w:rPr>
        <w:t xml:space="preserve"> Тему </w:t>
      </w:r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t xml:space="preserve"> «Реализация национального плана развития конкуренции, стандарта развития конкуренции, организация антимонопольного комплаенса на территории Бе</w:t>
      </w:r>
      <w:r w:rsidR="00CF7A1F">
        <w:rPr>
          <w:rFonts w:ascii="Times New Roman" w:eastAsia="Times New Roman" w:hAnsi="Times New Roman" w:cs="Times New Roman"/>
          <w:sz w:val="24"/>
          <w:szCs w:val="24"/>
        </w:rPr>
        <w:t>лгородской области»</w:t>
      </w:r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t xml:space="preserve"> раскрыла Наталья Павловна Бондаренко - начальник отдела экономического мониторинга и развития конкуренции Министерства экономического развития и промышленности Белгородской области.</w:t>
      </w:r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br/>
      </w:r>
      <w:r w:rsidR="0057104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D5990" w:rsidRPr="009D5990">
        <w:rPr>
          <w:rFonts w:ascii="Times New Roman" w:eastAsia="Times New Roman" w:hAnsi="Times New Roman" w:cs="Times New Roman"/>
          <w:sz w:val="24"/>
          <w:szCs w:val="24"/>
        </w:rPr>
        <w:t>Подведены итоги внедрения антимонопольного комплаенса администрациями муниципальных районов и городских округов области в 2021 году и определены задачи, которые необходимо решить в сфере государственной конкурентной политики в 2022 году.</w:t>
      </w:r>
    </w:p>
    <w:p w:rsidR="009D5990" w:rsidRPr="00571040" w:rsidRDefault="00571040" w:rsidP="00571040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5990" w:rsidRPr="00571040">
        <w:rPr>
          <w:rFonts w:ascii="Times New Roman" w:hAnsi="Times New Roman" w:cs="Times New Roman"/>
          <w:sz w:val="24"/>
          <w:szCs w:val="24"/>
        </w:rPr>
        <w:t>В ходе проведения обучающего семинара были продемонстрированы презентации, подготовленные Министерством экономического развития  и  промышленности области и УФАС по Белгородской области.</w:t>
      </w:r>
    </w:p>
    <w:p w:rsidR="001B3442" w:rsidRDefault="009D5990" w:rsidP="00571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040">
        <w:rPr>
          <w:rFonts w:ascii="Times New Roman" w:hAnsi="Times New Roman" w:cs="Times New Roman"/>
          <w:sz w:val="24"/>
          <w:szCs w:val="24"/>
        </w:rPr>
        <w:lastRenderedPageBreak/>
        <w:t>В настоящее время, доля сотрудников администрации Борисовского района, которые приняли участие в обучающих мероприятиях по основам антимонопольного законодательства, организации и функционированию антимонопольного комплаенса составляет более 95 процентов</w:t>
      </w:r>
    </w:p>
    <w:p w:rsidR="00AD18CD" w:rsidRDefault="00AD18CD" w:rsidP="00571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8CD" w:rsidRDefault="00AD18CD" w:rsidP="0057104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4786" cy="3641697"/>
            <wp:effectExtent l="19050" t="0" r="2964" b="0"/>
            <wp:docPr id="1" name="Рисунок 1" descr="\\admserver\Otdel economiki\Медведева\Стандарт развития конкуренции\информация на сайт\2022 год\фото семинара 28.06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er\Otdel economiki\Медведева\Стандарт развития конкуренции\информация на сайт\2022 год\фото семинара 28.06.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41" cy="364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CD" w:rsidRDefault="00AD18CD" w:rsidP="00AD18CD">
      <w:pPr>
        <w:rPr>
          <w:rFonts w:ascii="Times New Roman" w:hAnsi="Times New Roman" w:cs="Times New Roman"/>
        </w:rPr>
      </w:pPr>
    </w:p>
    <w:p w:rsidR="00AD18CD" w:rsidRPr="00AD18CD" w:rsidRDefault="00AD18CD" w:rsidP="00AD18CD">
      <w:pPr>
        <w:tabs>
          <w:tab w:val="left" w:pos="1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422790" cy="3173796"/>
            <wp:effectExtent l="19050" t="0" r="6460" b="0"/>
            <wp:docPr id="2" name="Рисунок 2" descr="\\admserver\Otdel economiki\Медведева\Стандарт развития конкуренции\информация на сайт\2022 год\фото семинара 28.06.22 э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erver\Otdel economiki\Медведева\Стандарт развития конкуренции\информация на сайт\2022 год\фото семинара 28.06.22 экр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78" cy="318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8CD" w:rsidRPr="00AD18CD" w:rsidSect="00CE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3442"/>
    <w:rsid w:val="001A1966"/>
    <w:rsid w:val="001B3442"/>
    <w:rsid w:val="00283DAB"/>
    <w:rsid w:val="00571040"/>
    <w:rsid w:val="005E64CF"/>
    <w:rsid w:val="006C40A6"/>
    <w:rsid w:val="0073541A"/>
    <w:rsid w:val="0076268D"/>
    <w:rsid w:val="00772E41"/>
    <w:rsid w:val="007E6DDC"/>
    <w:rsid w:val="009D5990"/>
    <w:rsid w:val="00A265E4"/>
    <w:rsid w:val="00AD18CD"/>
    <w:rsid w:val="00CE0763"/>
    <w:rsid w:val="00CF7A1F"/>
    <w:rsid w:val="00E40EED"/>
    <w:rsid w:val="00E561A0"/>
    <w:rsid w:val="00E62622"/>
    <w:rsid w:val="00F84ADB"/>
    <w:rsid w:val="00F9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63"/>
  </w:style>
  <w:style w:type="paragraph" w:styleId="1">
    <w:name w:val="heading 1"/>
    <w:basedOn w:val="a"/>
    <w:link w:val="10"/>
    <w:uiPriority w:val="9"/>
    <w:qFormat/>
    <w:rsid w:val="009D5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9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2023-02-15T07:52:00Z</dcterms:created>
  <dcterms:modified xsi:type="dcterms:W3CDTF">2023-02-15T07:52:00Z</dcterms:modified>
</cp:coreProperties>
</file>