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2" w:rsidRPr="00D84B22" w:rsidRDefault="00D84B22" w:rsidP="00D84B22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84B2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 1 ЯНВАРЯ 2022 ГОДА ЗАКРЕПЛЕНА ВОЗМОЖНОСТЬ УДАЛЕННОГО УЧАСТИЯ УЧАСТНИКОВ ПРОЦЕССА В СУДЕБНЫХ ЗАСЕДАНИЯХ С ИСПОЛЬЗОВАНИЕМ ЛИЧНЫХ СРЕДСТВ КОММУНИКАЦИИ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>Федеральным законом от 30.12.2021 № 440-ФЗ «О внесении изменений в отдельные законодательные акты Российской Федерации» закреплена возможность удаленного участия участников процесса в судебных заседаниях с использованием личных средств коммуникации.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>Внесены изменения в АПК РФ, ГПК РФ, КАС РФ и иные законодательные акты РФ, направленные на совершенствование порядка применения электронных документов в судопроизводстве.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Установлено, что исковое заявление, заявление, жалоба, представление и иные документы могут быть поданы в </w:t>
      </w:r>
      <w:proofErr w:type="gramStart"/>
      <w:r w:rsidRPr="00D84B22">
        <w:rPr>
          <w:rFonts w:eastAsia="Times New Roman"/>
          <w:color w:val="auto"/>
          <w:sz w:val="24"/>
          <w:szCs w:val="24"/>
          <w:lang w:eastAsia="ru-RU"/>
        </w:rPr>
        <w:t>суд</w:t>
      </w:r>
      <w:proofErr w:type="gramEnd"/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 в том числе в форме электронного документа, либо через единый портал государственных и муниципальных услуг, либо через информационную систему, определенную Верховным Судом РФ, Судебным департаментом при Верховном Суде РФ, либо через систему электронного документооборота участников процесса с использованием единой системы межведомственного электронного взаимодействия.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При этом документы, которые подаются через портал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Госуслуг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 либо через информационную систему, определенную Верховным Судом РФ, Судебным департаментом при Верховном Суде РФ, могут быть подписаны простой электронной подписью, если процессуальным законодательством не установлено иное.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>Усиленной квалифицированной электронной подписью должны быть подписаны документы, которые подаются через системы электронного документооборота.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>При наличии технической возможности в суде лицам, участвующим в деле, может быть предоставлен доступ к материалам дела в электронном виде в сети «Интернет» посредством информационной системы, определенной Верховным Судом РФ, Судебным департаментом при Верховном Суде РФ.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Судебные повестки и иные судебные извещения в электронном виде могут быть доставлены посредством портала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Госуслуг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 и системы электронного документооборота. В этом случае время и факт их доставки адресату будут фиксироваться средствами соответствующей информационной системы.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Участник судебного процесса, давший согласие на уведомление его посредством портала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Госуслуг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>, будет считаться извещенным надлежащим образом, если имеются доказательства доставки судебного извещения посредством указанного портала.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Судебное решение, выполненное в форме электронного документа, может быть направлено лицам, участвующим в деле, посредством его размещения в установленном порядке в сети «Интернет» в режиме ограниченного доступа, на портале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Госуслуг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 или в системе электронного документооборота.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Участники процесса смогут участвовать в судебном заседании путем использования системы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веб-конференции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 при условии заявления ими ходатайства об этом и при наличии в судах технической возможности.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Установление личности лица, участвующего в судебном заседании в режиме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веб-конференции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>, будет осуществляться с использованием информационно-технологических средств, обеспечивающих идентификацию лица без его личного присутствия (единой системы идентификац</w:t>
      </w:r>
      <w:proofErr w:type="gramStart"/>
      <w:r w:rsidRPr="00D84B22">
        <w:rPr>
          <w:rFonts w:eastAsia="Times New Roman"/>
          <w:color w:val="auto"/>
          <w:sz w:val="24"/>
          <w:szCs w:val="24"/>
          <w:lang w:eastAsia="ru-RU"/>
        </w:rPr>
        <w:t>ии и ау</w:t>
      </w:r>
      <w:proofErr w:type="gramEnd"/>
      <w:r w:rsidRPr="00D84B22">
        <w:rPr>
          <w:rFonts w:eastAsia="Times New Roman"/>
          <w:color w:val="auto"/>
          <w:sz w:val="24"/>
          <w:szCs w:val="24"/>
          <w:lang w:eastAsia="ru-RU"/>
        </w:rPr>
        <w:t>тентификации, единой биометрической системы).</w:t>
      </w:r>
    </w:p>
    <w:p w:rsidR="00D84B22" w:rsidRPr="00D84B22" w:rsidRDefault="00D84B22" w:rsidP="00D84B2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Порядок подачи в суд документов в электронном виде, размещения материалов дела и судебных актов в сети «Интернет», предоставления доступа к ним, применения систем видеоконференц-связи и системы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веб-конференции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 xml:space="preserve"> в судах, требования к техническим и программным средствам, используемым при организации применения </w:t>
      </w:r>
      <w:proofErr w:type="spellStart"/>
      <w:r w:rsidRPr="00D84B22">
        <w:rPr>
          <w:rFonts w:eastAsia="Times New Roman"/>
          <w:color w:val="auto"/>
          <w:sz w:val="24"/>
          <w:szCs w:val="24"/>
          <w:lang w:eastAsia="ru-RU"/>
        </w:rPr>
        <w:t>веб-конференции</w:t>
      </w:r>
      <w:proofErr w:type="spellEnd"/>
      <w:r w:rsidRPr="00D84B22">
        <w:rPr>
          <w:rFonts w:eastAsia="Times New Roman"/>
          <w:color w:val="auto"/>
          <w:sz w:val="24"/>
          <w:szCs w:val="24"/>
          <w:lang w:eastAsia="ru-RU"/>
        </w:rPr>
        <w:t>, при выполнении судебных актов и иных документов в электронном виде и подписании (заверении) их электронной подписью, к использованию сети "Интернет</w:t>
      </w:r>
      <w:proofErr w:type="gramEnd"/>
      <w:r w:rsidRPr="00D84B22">
        <w:rPr>
          <w:rFonts w:eastAsia="Times New Roman"/>
          <w:color w:val="auto"/>
          <w:sz w:val="24"/>
          <w:szCs w:val="24"/>
          <w:lang w:eastAsia="ru-RU"/>
        </w:rPr>
        <w:t>" для направления таких электронных документов, иные требования, связанные с ведением дела в электронном виде, использованием документов в электронном виде при рассмотрении дела, перечень таких документов, подлежащих приобщению к делу на бумажном носителе, определяются в порядке, установленном Верховным Судом РФ, Судебным департаментом при Верховном Суде РФ в пределах своих полномочий.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22"/>
    <w:rsid w:val="000E7439"/>
    <w:rsid w:val="001C6016"/>
    <w:rsid w:val="00481BF9"/>
    <w:rsid w:val="008168AE"/>
    <w:rsid w:val="00D62A3E"/>
    <w:rsid w:val="00D8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84B2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B2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B2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2022-07-26T10:45:00Z</dcterms:created>
  <dcterms:modified xsi:type="dcterms:W3CDTF">2022-07-26T10:45:00Z</dcterms:modified>
</cp:coreProperties>
</file>